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tblW w:w="91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954"/>
        <w:gridCol w:w="1788"/>
        <w:gridCol w:w="3449"/>
        <w:gridCol w:w="8"/>
      </w:tblGrid>
      <w:tr w:rsidR="005D4A40" w:rsidRPr="00197132" w:rsidTr="005D4A40">
        <w:trPr>
          <w:cantSplit/>
          <w:trHeight w:hRule="exact" w:val="391"/>
        </w:trPr>
        <w:tc>
          <w:tcPr>
            <w:tcW w:w="3954" w:type="dxa"/>
            <w:vMerge w:val="restart"/>
            <w:tcBorders>
              <w:top w:val="single" w:sz="6" w:space="0" w:color="auto"/>
              <w:left w:val="single" w:sz="6" w:space="0" w:color="auto"/>
              <w:right w:val="single" w:sz="6" w:space="0" w:color="auto"/>
            </w:tcBorders>
            <w:vAlign w:val="center"/>
          </w:tcPr>
          <w:p w:rsidR="005D4A40" w:rsidRPr="00197132" w:rsidRDefault="005D4A40" w:rsidP="00793496">
            <w:pPr>
              <w:jc w:val="center"/>
              <w:rPr>
                <w:sz w:val="24"/>
              </w:rPr>
            </w:pPr>
            <w:r w:rsidRPr="00197132">
              <w:rPr>
                <w:sz w:val="24"/>
              </w:rPr>
              <w:t>质量手册</w:t>
            </w:r>
          </w:p>
        </w:tc>
        <w:tc>
          <w:tcPr>
            <w:tcW w:w="5245" w:type="dxa"/>
            <w:gridSpan w:val="3"/>
            <w:tcBorders>
              <w:top w:val="single" w:sz="6" w:space="0" w:color="auto"/>
              <w:left w:val="single" w:sz="6" w:space="0" w:color="auto"/>
              <w:bottom w:val="single" w:sz="6" w:space="0" w:color="auto"/>
              <w:right w:val="single" w:sz="6" w:space="0" w:color="auto"/>
            </w:tcBorders>
            <w:vAlign w:val="center"/>
          </w:tcPr>
          <w:p w:rsidR="005D4A40" w:rsidRPr="00197132" w:rsidRDefault="005D4A40" w:rsidP="00793496">
            <w:pPr>
              <w:jc w:val="center"/>
              <w:rPr>
                <w:sz w:val="24"/>
              </w:rPr>
            </w:pPr>
            <w:r w:rsidRPr="00197132">
              <w:rPr>
                <w:sz w:val="24"/>
              </w:rPr>
              <w:t>第</w:t>
            </w:r>
            <w:r>
              <w:rPr>
                <w:sz w:val="24"/>
              </w:rPr>
              <w:t>4.1</w:t>
            </w:r>
            <w:r w:rsidRPr="00197132">
              <w:rPr>
                <w:sz w:val="24"/>
              </w:rPr>
              <w:t>章</w:t>
            </w:r>
          </w:p>
        </w:tc>
      </w:tr>
      <w:tr w:rsidR="005D4A40" w:rsidRPr="00197132" w:rsidTr="005D4A40">
        <w:trPr>
          <w:gridAfter w:val="1"/>
          <w:wAfter w:w="8" w:type="dxa"/>
          <w:cantSplit/>
          <w:trHeight w:hRule="exact" w:val="391"/>
        </w:trPr>
        <w:tc>
          <w:tcPr>
            <w:tcW w:w="3954" w:type="dxa"/>
            <w:vMerge/>
            <w:tcBorders>
              <w:left w:val="single" w:sz="6" w:space="0" w:color="auto"/>
              <w:right w:val="single" w:sz="6" w:space="0" w:color="auto"/>
            </w:tcBorders>
            <w:vAlign w:val="center"/>
          </w:tcPr>
          <w:p w:rsidR="005D4A40" w:rsidRPr="00197132" w:rsidRDefault="005D4A40" w:rsidP="00793496">
            <w:pPr>
              <w:jc w:val="center"/>
              <w:rPr>
                <w:sz w:val="24"/>
              </w:rPr>
            </w:pPr>
          </w:p>
        </w:tc>
        <w:tc>
          <w:tcPr>
            <w:tcW w:w="1788" w:type="dxa"/>
            <w:tcBorders>
              <w:top w:val="single" w:sz="6" w:space="0" w:color="auto"/>
              <w:left w:val="single" w:sz="6" w:space="0" w:color="auto"/>
              <w:bottom w:val="single" w:sz="6" w:space="0" w:color="auto"/>
              <w:right w:val="single" w:sz="6" w:space="0" w:color="auto"/>
            </w:tcBorders>
            <w:vAlign w:val="center"/>
          </w:tcPr>
          <w:p w:rsidR="005D4A40" w:rsidRPr="00197132" w:rsidRDefault="005D4A40" w:rsidP="00793496">
            <w:pPr>
              <w:jc w:val="center"/>
              <w:rPr>
                <w:sz w:val="24"/>
              </w:rPr>
            </w:pPr>
            <w:r w:rsidRPr="00197132">
              <w:rPr>
                <w:sz w:val="24"/>
              </w:rPr>
              <w:t>本章共</w:t>
            </w:r>
            <w:r>
              <w:rPr>
                <w:sz w:val="24"/>
              </w:rPr>
              <w:t>1</w:t>
            </w:r>
            <w:r w:rsidRPr="00197132">
              <w:rPr>
                <w:sz w:val="24"/>
              </w:rPr>
              <w:t>页</w:t>
            </w:r>
          </w:p>
        </w:tc>
        <w:tc>
          <w:tcPr>
            <w:tcW w:w="3449" w:type="dxa"/>
            <w:tcBorders>
              <w:top w:val="single" w:sz="6" w:space="0" w:color="auto"/>
              <w:left w:val="single" w:sz="6" w:space="0" w:color="auto"/>
              <w:bottom w:val="single" w:sz="6" w:space="0" w:color="auto"/>
              <w:right w:val="single" w:sz="6" w:space="0" w:color="auto"/>
            </w:tcBorders>
            <w:vAlign w:val="center"/>
          </w:tcPr>
          <w:p w:rsidR="005D4A40" w:rsidRPr="00197132" w:rsidRDefault="005D4A40" w:rsidP="00793496">
            <w:pPr>
              <w:jc w:val="center"/>
              <w:rPr>
                <w:sz w:val="24"/>
              </w:rPr>
            </w:pPr>
            <w:r w:rsidRPr="00197132">
              <w:rPr>
                <w:sz w:val="24"/>
              </w:rPr>
              <w:t>页码：</w:t>
            </w:r>
            <w:r>
              <w:rPr>
                <w:sz w:val="24"/>
              </w:rPr>
              <w:t>1</w:t>
            </w:r>
            <w:r w:rsidRPr="00197132">
              <w:rPr>
                <w:sz w:val="24"/>
              </w:rPr>
              <w:t>/</w:t>
            </w:r>
            <w:r>
              <w:rPr>
                <w:sz w:val="24"/>
              </w:rPr>
              <w:t>1</w:t>
            </w:r>
          </w:p>
        </w:tc>
      </w:tr>
      <w:tr w:rsidR="005D4A40" w:rsidRPr="00197132" w:rsidTr="005D4A40">
        <w:trPr>
          <w:gridAfter w:val="1"/>
          <w:wAfter w:w="8" w:type="dxa"/>
          <w:cantSplit/>
          <w:trHeight w:hRule="exact" w:val="391"/>
        </w:trPr>
        <w:tc>
          <w:tcPr>
            <w:tcW w:w="3954" w:type="dxa"/>
            <w:vMerge w:val="restart"/>
            <w:tcBorders>
              <w:left w:val="single" w:sz="6" w:space="0" w:color="auto"/>
              <w:right w:val="single" w:sz="6" w:space="0" w:color="auto"/>
            </w:tcBorders>
            <w:vAlign w:val="center"/>
          </w:tcPr>
          <w:p w:rsidR="005D4A40" w:rsidRPr="00197132" w:rsidRDefault="005D4A40" w:rsidP="00793496">
            <w:pPr>
              <w:jc w:val="center"/>
              <w:rPr>
                <w:sz w:val="24"/>
              </w:rPr>
            </w:pPr>
            <w:r w:rsidRPr="00197132">
              <w:rPr>
                <w:sz w:val="24"/>
              </w:rPr>
              <w:t>主题：</w:t>
            </w:r>
            <w:r>
              <w:rPr>
                <w:rStyle w:val="11"/>
                <w:rFonts w:hint="eastAsia"/>
                <w:b w:val="0"/>
                <w:sz w:val="24"/>
                <w:szCs w:val="24"/>
              </w:rPr>
              <w:t>公正性申明</w:t>
            </w:r>
          </w:p>
        </w:tc>
        <w:tc>
          <w:tcPr>
            <w:tcW w:w="1788" w:type="dxa"/>
            <w:tcBorders>
              <w:top w:val="single" w:sz="6" w:space="0" w:color="auto"/>
              <w:left w:val="single" w:sz="6" w:space="0" w:color="auto"/>
              <w:bottom w:val="single" w:sz="6" w:space="0" w:color="auto"/>
              <w:right w:val="single" w:sz="6" w:space="0" w:color="auto"/>
            </w:tcBorders>
            <w:vAlign w:val="center"/>
          </w:tcPr>
          <w:p w:rsidR="005D4A40" w:rsidRPr="00197132" w:rsidRDefault="005D4A40" w:rsidP="00793496">
            <w:pPr>
              <w:jc w:val="center"/>
              <w:rPr>
                <w:sz w:val="24"/>
              </w:rPr>
            </w:pPr>
            <w:r>
              <w:rPr>
                <w:sz w:val="24"/>
              </w:rPr>
              <w:t>第</w:t>
            </w:r>
            <w:r>
              <w:rPr>
                <w:sz w:val="24"/>
              </w:rPr>
              <w:t>6</w:t>
            </w:r>
            <w:r>
              <w:rPr>
                <w:sz w:val="24"/>
              </w:rPr>
              <w:t>版</w:t>
            </w:r>
          </w:p>
        </w:tc>
        <w:tc>
          <w:tcPr>
            <w:tcW w:w="3449" w:type="dxa"/>
            <w:tcBorders>
              <w:top w:val="single" w:sz="6" w:space="0" w:color="auto"/>
              <w:left w:val="single" w:sz="6" w:space="0" w:color="auto"/>
              <w:bottom w:val="single" w:sz="6" w:space="0" w:color="auto"/>
              <w:right w:val="single" w:sz="6" w:space="0" w:color="auto"/>
            </w:tcBorders>
            <w:vAlign w:val="center"/>
          </w:tcPr>
          <w:p w:rsidR="005D4A40" w:rsidRPr="00197132" w:rsidRDefault="005D4A40" w:rsidP="00793496">
            <w:pPr>
              <w:jc w:val="center"/>
              <w:rPr>
                <w:sz w:val="24"/>
              </w:rPr>
            </w:pPr>
            <w:r w:rsidRPr="00197132">
              <w:rPr>
                <w:sz w:val="24"/>
              </w:rPr>
              <w:t>第</w:t>
            </w:r>
            <w:r w:rsidRPr="00197132">
              <w:rPr>
                <w:sz w:val="24"/>
              </w:rPr>
              <w:t>0</w:t>
            </w:r>
            <w:r w:rsidRPr="00197132">
              <w:rPr>
                <w:sz w:val="24"/>
              </w:rPr>
              <w:t>次修订</w:t>
            </w:r>
          </w:p>
        </w:tc>
      </w:tr>
      <w:tr w:rsidR="005D4A40" w:rsidRPr="00197132" w:rsidTr="005D4A40">
        <w:trPr>
          <w:gridAfter w:val="1"/>
          <w:wAfter w:w="8" w:type="dxa"/>
          <w:cantSplit/>
          <w:trHeight w:hRule="exact" w:val="391"/>
        </w:trPr>
        <w:tc>
          <w:tcPr>
            <w:tcW w:w="3954" w:type="dxa"/>
            <w:vMerge/>
            <w:tcBorders>
              <w:left w:val="single" w:sz="6" w:space="0" w:color="auto"/>
              <w:bottom w:val="single" w:sz="6" w:space="0" w:color="auto"/>
              <w:right w:val="single" w:sz="6" w:space="0" w:color="auto"/>
            </w:tcBorders>
            <w:vAlign w:val="center"/>
          </w:tcPr>
          <w:p w:rsidR="005D4A40" w:rsidRPr="00197132" w:rsidRDefault="005D4A40" w:rsidP="00793496">
            <w:pPr>
              <w:jc w:val="center"/>
              <w:rPr>
                <w:sz w:val="24"/>
              </w:rPr>
            </w:pPr>
          </w:p>
        </w:tc>
        <w:tc>
          <w:tcPr>
            <w:tcW w:w="1788" w:type="dxa"/>
            <w:tcBorders>
              <w:top w:val="single" w:sz="6" w:space="0" w:color="auto"/>
              <w:left w:val="single" w:sz="6" w:space="0" w:color="auto"/>
              <w:bottom w:val="single" w:sz="6" w:space="0" w:color="auto"/>
              <w:right w:val="single" w:sz="6" w:space="0" w:color="auto"/>
            </w:tcBorders>
            <w:vAlign w:val="center"/>
          </w:tcPr>
          <w:p w:rsidR="005D4A40" w:rsidRPr="00197132" w:rsidRDefault="005D4A40" w:rsidP="00793496">
            <w:pPr>
              <w:jc w:val="center"/>
              <w:rPr>
                <w:sz w:val="24"/>
              </w:rPr>
            </w:pPr>
            <w:r w:rsidRPr="00197132">
              <w:rPr>
                <w:sz w:val="24"/>
              </w:rPr>
              <w:t>发布日期</w:t>
            </w:r>
          </w:p>
        </w:tc>
        <w:tc>
          <w:tcPr>
            <w:tcW w:w="3449" w:type="dxa"/>
            <w:tcBorders>
              <w:top w:val="single" w:sz="6" w:space="0" w:color="auto"/>
              <w:left w:val="single" w:sz="6" w:space="0" w:color="auto"/>
              <w:bottom w:val="single" w:sz="6" w:space="0" w:color="auto"/>
              <w:right w:val="single" w:sz="6" w:space="0" w:color="auto"/>
            </w:tcBorders>
            <w:vAlign w:val="center"/>
          </w:tcPr>
          <w:p w:rsidR="005D4A40" w:rsidRPr="00197132" w:rsidRDefault="005D4A40" w:rsidP="00793496">
            <w:pPr>
              <w:jc w:val="center"/>
              <w:rPr>
                <w:sz w:val="24"/>
              </w:rPr>
            </w:pPr>
            <w:r w:rsidRPr="00197132">
              <w:rPr>
                <w:sz w:val="24"/>
              </w:rPr>
              <w:t>201</w:t>
            </w:r>
            <w:r w:rsidRPr="00197132">
              <w:rPr>
                <w:rFonts w:hint="eastAsia"/>
                <w:sz w:val="24"/>
              </w:rPr>
              <w:t>8</w:t>
            </w:r>
            <w:r w:rsidRPr="00197132">
              <w:rPr>
                <w:sz w:val="24"/>
              </w:rPr>
              <w:t>年</w:t>
            </w:r>
            <w:r w:rsidRPr="00197132">
              <w:rPr>
                <w:sz w:val="24"/>
              </w:rPr>
              <w:t xml:space="preserve"> </w:t>
            </w:r>
            <w:r w:rsidRPr="00197132">
              <w:rPr>
                <w:rFonts w:hint="eastAsia"/>
                <w:sz w:val="24"/>
              </w:rPr>
              <w:t>11</w:t>
            </w:r>
            <w:r w:rsidRPr="00197132">
              <w:rPr>
                <w:sz w:val="24"/>
              </w:rPr>
              <w:t xml:space="preserve"> </w:t>
            </w:r>
            <w:r w:rsidRPr="00197132">
              <w:rPr>
                <w:sz w:val="24"/>
              </w:rPr>
              <w:t>月</w:t>
            </w:r>
            <w:r w:rsidRPr="00197132">
              <w:rPr>
                <w:sz w:val="24"/>
              </w:rPr>
              <w:t xml:space="preserve"> </w:t>
            </w:r>
            <w:r w:rsidRPr="00197132">
              <w:rPr>
                <w:rFonts w:hint="eastAsia"/>
                <w:sz w:val="24"/>
              </w:rPr>
              <w:t>25</w:t>
            </w:r>
            <w:r w:rsidRPr="00197132">
              <w:rPr>
                <w:sz w:val="24"/>
              </w:rPr>
              <w:t xml:space="preserve"> </w:t>
            </w:r>
            <w:r w:rsidRPr="00197132">
              <w:rPr>
                <w:sz w:val="24"/>
              </w:rPr>
              <w:t>日</w:t>
            </w:r>
          </w:p>
        </w:tc>
      </w:tr>
    </w:tbl>
    <w:p w:rsidR="005D4A40" w:rsidRPr="00197132" w:rsidRDefault="005D4A40" w:rsidP="005D4A40">
      <w:pPr>
        <w:pStyle w:val="a3"/>
      </w:pPr>
      <w:bookmarkStart w:id="0" w:name="_Toc124106251"/>
      <w:r w:rsidRPr="0002136E">
        <w:t>公正性声明</w:t>
      </w:r>
      <w:bookmarkEnd w:id="0"/>
    </w:p>
    <w:p w:rsidR="005D4A40" w:rsidRPr="0002136E" w:rsidRDefault="005D4A40" w:rsidP="005D4A40">
      <w:pPr>
        <w:spacing w:line="500" w:lineRule="exact"/>
        <w:rPr>
          <w:sz w:val="24"/>
        </w:rPr>
      </w:pPr>
      <w:r w:rsidRPr="0002136E">
        <w:rPr>
          <w:sz w:val="24"/>
        </w:rPr>
        <w:t xml:space="preserve">    </w:t>
      </w:r>
      <w:r w:rsidRPr="0002136E">
        <w:rPr>
          <w:sz w:val="24"/>
        </w:rPr>
        <w:t>中科院南京土壤研究所土壤与环境分析测试中心系中科院南京土壤研究所的下属部门，为保证</w:t>
      </w:r>
      <w:r w:rsidRPr="0002136E">
        <w:rPr>
          <w:sz w:val="24"/>
        </w:rPr>
        <w:t>“</w:t>
      </w:r>
      <w:r w:rsidRPr="0002136E">
        <w:rPr>
          <w:sz w:val="24"/>
        </w:rPr>
        <w:t>中心</w:t>
      </w:r>
      <w:r w:rsidRPr="0002136E">
        <w:rPr>
          <w:sz w:val="24"/>
        </w:rPr>
        <w:t>”</w:t>
      </w:r>
      <w:r w:rsidRPr="0002136E">
        <w:rPr>
          <w:sz w:val="24"/>
        </w:rPr>
        <w:t>法律和资质确定的法律地位及检测工作的公正性、科学性和准确性，特声明如下：</w:t>
      </w:r>
    </w:p>
    <w:p w:rsidR="005D4A40" w:rsidRDefault="005D4A40" w:rsidP="005D4A40">
      <w:pPr>
        <w:spacing w:line="500" w:lineRule="exact"/>
        <w:rPr>
          <w:sz w:val="24"/>
        </w:rPr>
      </w:pPr>
      <w:r w:rsidRPr="00197132">
        <w:rPr>
          <w:rFonts w:hint="eastAsia"/>
          <w:sz w:val="24"/>
        </w:rPr>
        <w:t>1.</w:t>
      </w:r>
      <w:r>
        <w:rPr>
          <w:sz w:val="24"/>
        </w:rPr>
        <w:t xml:space="preserve"> </w:t>
      </w:r>
      <w:r>
        <w:rPr>
          <w:rFonts w:hint="eastAsia"/>
          <w:sz w:val="24"/>
        </w:rPr>
        <w:t>“中心”</w:t>
      </w:r>
      <w:r w:rsidRPr="00FD3471">
        <w:rPr>
          <w:rFonts w:hint="eastAsia"/>
          <w:sz w:val="24"/>
        </w:rPr>
        <w:t>严格按照《通用要求》和相关法律法规等标准，建立管理体系，编制《质量手册》，并</w:t>
      </w:r>
      <w:r>
        <w:rPr>
          <w:rFonts w:hint="eastAsia"/>
          <w:sz w:val="24"/>
        </w:rPr>
        <w:t>将其</w:t>
      </w:r>
      <w:r w:rsidRPr="00FD3471">
        <w:rPr>
          <w:rFonts w:hint="eastAsia"/>
          <w:sz w:val="24"/>
        </w:rPr>
        <w:t>作为</w:t>
      </w:r>
      <w:r>
        <w:rPr>
          <w:rFonts w:hint="eastAsia"/>
          <w:sz w:val="24"/>
        </w:rPr>
        <w:t>“中心”</w:t>
      </w:r>
      <w:r w:rsidRPr="00FD3471">
        <w:rPr>
          <w:rFonts w:hint="eastAsia"/>
          <w:sz w:val="24"/>
        </w:rPr>
        <w:t>管理的基本准则和对客户以及社会提供公正服务的承诺。</w:t>
      </w:r>
    </w:p>
    <w:p w:rsidR="005D4A40" w:rsidRPr="00197132" w:rsidRDefault="005D4A40" w:rsidP="005D4A40">
      <w:pPr>
        <w:spacing w:line="500" w:lineRule="exact"/>
        <w:rPr>
          <w:sz w:val="24"/>
        </w:rPr>
      </w:pPr>
      <w:r>
        <w:rPr>
          <w:rFonts w:hint="eastAsia"/>
          <w:sz w:val="24"/>
        </w:rPr>
        <w:t>2</w:t>
      </w:r>
      <w:r>
        <w:rPr>
          <w:sz w:val="24"/>
        </w:rPr>
        <w:t xml:space="preserve">.  </w:t>
      </w:r>
      <w:r w:rsidRPr="00197132">
        <w:rPr>
          <w:sz w:val="24"/>
        </w:rPr>
        <w:t>“</w:t>
      </w:r>
      <w:r w:rsidRPr="00197132">
        <w:rPr>
          <w:sz w:val="24"/>
        </w:rPr>
        <w:t>中心</w:t>
      </w:r>
      <w:r w:rsidRPr="00197132">
        <w:rPr>
          <w:sz w:val="24"/>
        </w:rPr>
        <w:t>”</w:t>
      </w:r>
      <w:r w:rsidRPr="00197132">
        <w:rPr>
          <w:sz w:val="24"/>
        </w:rPr>
        <w:t>检测工作的独立性不受任何行政干预，不受任何关系和部门领导的影响，不受任何经济利益的驱动；</w:t>
      </w:r>
    </w:p>
    <w:p w:rsidR="005D4A40" w:rsidRPr="0002136E" w:rsidRDefault="005D4A40" w:rsidP="005D4A40">
      <w:pPr>
        <w:spacing w:line="500" w:lineRule="exact"/>
        <w:rPr>
          <w:sz w:val="24"/>
        </w:rPr>
      </w:pPr>
      <w:r>
        <w:rPr>
          <w:sz w:val="24"/>
        </w:rPr>
        <w:t>3</w:t>
      </w:r>
      <w:r>
        <w:rPr>
          <w:rFonts w:hint="eastAsia"/>
          <w:sz w:val="24"/>
        </w:rPr>
        <w:t xml:space="preserve">. </w:t>
      </w:r>
      <w:r>
        <w:rPr>
          <w:sz w:val="24"/>
        </w:rPr>
        <w:t xml:space="preserve"> </w:t>
      </w:r>
      <w:r w:rsidRPr="0002136E">
        <w:rPr>
          <w:sz w:val="24"/>
        </w:rPr>
        <w:t>“</w:t>
      </w:r>
      <w:r w:rsidRPr="0002136E">
        <w:rPr>
          <w:sz w:val="24"/>
        </w:rPr>
        <w:t>中心</w:t>
      </w:r>
      <w:r w:rsidRPr="0002136E">
        <w:rPr>
          <w:sz w:val="24"/>
        </w:rPr>
        <w:t>”</w:t>
      </w:r>
      <w:r w:rsidRPr="0002136E">
        <w:rPr>
          <w:sz w:val="24"/>
        </w:rPr>
        <w:t>要求全体员工严格遵守与委托人签订的一切协议或契约，恪守职业道德，抵制一切有碍于检测结果公正性的活动；</w:t>
      </w:r>
    </w:p>
    <w:p w:rsidR="005D4A40" w:rsidRPr="0002136E" w:rsidRDefault="005D4A40" w:rsidP="005D4A40">
      <w:pPr>
        <w:spacing w:line="500" w:lineRule="exact"/>
        <w:rPr>
          <w:sz w:val="24"/>
        </w:rPr>
      </w:pPr>
      <w:r>
        <w:rPr>
          <w:sz w:val="24"/>
        </w:rPr>
        <w:t xml:space="preserve">4.  </w:t>
      </w:r>
      <w:r w:rsidRPr="0002136E">
        <w:rPr>
          <w:sz w:val="24"/>
        </w:rPr>
        <w:t>“</w:t>
      </w:r>
      <w:r w:rsidRPr="0002136E">
        <w:rPr>
          <w:sz w:val="24"/>
        </w:rPr>
        <w:t>中心</w:t>
      </w:r>
      <w:r w:rsidRPr="0002136E">
        <w:rPr>
          <w:sz w:val="24"/>
        </w:rPr>
        <w:t>”</w:t>
      </w:r>
      <w:r w:rsidRPr="0002136E">
        <w:rPr>
          <w:sz w:val="24"/>
        </w:rPr>
        <w:t>按管理体系文件规定开展各项检测活动，</w:t>
      </w:r>
      <w:proofErr w:type="gramStart"/>
      <w:r w:rsidRPr="0002136E">
        <w:rPr>
          <w:sz w:val="24"/>
        </w:rPr>
        <w:t>不</w:t>
      </w:r>
      <w:proofErr w:type="gramEnd"/>
      <w:r w:rsidRPr="0002136E">
        <w:rPr>
          <w:sz w:val="24"/>
        </w:rPr>
        <w:t>出具虚假检验检测数据，确保检测数据的公正性、科学性、准确性，为委托人提供优质服务；始终不渝地维护其诚实的工作态度，坚持客观、科学、公正和保密，杜绝一切损害委托人利益的事件发生；</w:t>
      </w:r>
    </w:p>
    <w:p w:rsidR="005D4A40" w:rsidRDefault="005D4A40" w:rsidP="005D4A40">
      <w:pPr>
        <w:spacing w:line="500" w:lineRule="exact"/>
        <w:rPr>
          <w:sz w:val="24"/>
        </w:rPr>
      </w:pPr>
      <w:r>
        <w:rPr>
          <w:sz w:val="24"/>
        </w:rPr>
        <w:t xml:space="preserve">5.  </w:t>
      </w:r>
      <w:r w:rsidRPr="0002136E">
        <w:rPr>
          <w:sz w:val="24"/>
        </w:rPr>
        <w:t>“</w:t>
      </w:r>
      <w:r w:rsidRPr="0002136E">
        <w:rPr>
          <w:sz w:val="24"/>
        </w:rPr>
        <w:t>中心</w:t>
      </w:r>
      <w:r w:rsidRPr="0002136E">
        <w:rPr>
          <w:sz w:val="24"/>
        </w:rPr>
        <w:t>”</w:t>
      </w:r>
      <w:r w:rsidRPr="0002136E">
        <w:rPr>
          <w:sz w:val="24"/>
        </w:rPr>
        <w:t>向委托人承诺所应承担的法律责任和应履行的法律义务；</w:t>
      </w:r>
      <w:r>
        <w:rPr>
          <w:rFonts w:hint="eastAsia"/>
          <w:sz w:val="24"/>
        </w:rPr>
        <w:t>“中心”</w:t>
      </w:r>
      <w:r w:rsidRPr="00FD3471">
        <w:rPr>
          <w:rFonts w:hint="eastAsia"/>
          <w:sz w:val="24"/>
        </w:rPr>
        <w:t>及其负责人对其</w:t>
      </w:r>
      <w:r>
        <w:rPr>
          <w:rFonts w:hint="eastAsia"/>
          <w:sz w:val="24"/>
        </w:rPr>
        <w:t>检测</w:t>
      </w:r>
      <w:r w:rsidRPr="00FD3471">
        <w:rPr>
          <w:rFonts w:hint="eastAsia"/>
          <w:sz w:val="24"/>
        </w:rPr>
        <w:t>数据的真实性和准确性负责，分析人员、审核与授权签字人分别对原始</w:t>
      </w:r>
      <w:r>
        <w:rPr>
          <w:rFonts w:hint="eastAsia"/>
          <w:sz w:val="24"/>
        </w:rPr>
        <w:t>检测</w:t>
      </w:r>
      <w:r w:rsidRPr="00FD3471">
        <w:rPr>
          <w:rFonts w:hint="eastAsia"/>
          <w:sz w:val="24"/>
        </w:rPr>
        <w:t>数据、</w:t>
      </w:r>
      <w:r>
        <w:rPr>
          <w:rFonts w:hint="eastAsia"/>
          <w:sz w:val="24"/>
        </w:rPr>
        <w:t>检测</w:t>
      </w:r>
      <w:r w:rsidRPr="00FD3471">
        <w:rPr>
          <w:rFonts w:hint="eastAsia"/>
          <w:sz w:val="24"/>
        </w:rPr>
        <w:t>报告的真实性终身负责。</w:t>
      </w:r>
    </w:p>
    <w:p w:rsidR="005D4A40" w:rsidRDefault="005D4A40" w:rsidP="005D4A40">
      <w:pPr>
        <w:spacing w:line="500" w:lineRule="exact"/>
        <w:rPr>
          <w:sz w:val="24"/>
        </w:rPr>
      </w:pPr>
      <w:r>
        <w:rPr>
          <w:sz w:val="24"/>
        </w:rPr>
        <w:t>6</w:t>
      </w:r>
      <w:r>
        <w:rPr>
          <w:rFonts w:hint="eastAsia"/>
          <w:sz w:val="24"/>
        </w:rPr>
        <w:t>.</w:t>
      </w:r>
      <w:r>
        <w:rPr>
          <w:sz w:val="24"/>
        </w:rPr>
        <w:t xml:space="preserve"> </w:t>
      </w:r>
      <w:r>
        <w:rPr>
          <w:rFonts w:hint="eastAsia"/>
          <w:sz w:val="24"/>
        </w:rPr>
        <w:t xml:space="preserve"> </w:t>
      </w:r>
      <w:r w:rsidRPr="0002136E">
        <w:rPr>
          <w:sz w:val="24"/>
        </w:rPr>
        <w:t>“</w:t>
      </w:r>
      <w:r w:rsidRPr="0002136E">
        <w:rPr>
          <w:sz w:val="24"/>
        </w:rPr>
        <w:t>中心</w:t>
      </w:r>
      <w:r w:rsidRPr="0002136E">
        <w:rPr>
          <w:sz w:val="24"/>
        </w:rPr>
        <w:t>”</w:t>
      </w:r>
      <w:r w:rsidRPr="0002136E">
        <w:rPr>
          <w:sz w:val="24"/>
        </w:rPr>
        <w:t>除开展委托人委托的检测任务之外，严格遵守保密制度，不泄露和擅自引用客户的技术资料及检测结果</w:t>
      </w:r>
      <w:r>
        <w:rPr>
          <w:rFonts w:hint="eastAsia"/>
          <w:sz w:val="24"/>
        </w:rPr>
        <w:t>；</w:t>
      </w:r>
    </w:p>
    <w:p w:rsidR="005D4A40" w:rsidRPr="00581EC9" w:rsidRDefault="005D4A40" w:rsidP="005D4A40">
      <w:pPr>
        <w:spacing w:line="500" w:lineRule="exact"/>
        <w:rPr>
          <w:sz w:val="24"/>
        </w:rPr>
      </w:pPr>
      <w:r>
        <w:rPr>
          <w:sz w:val="24"/>
        </w:rPr>
        <w:t xml:space="preserve">7.  </w:t>
      </w:r>
      <w:r w:rsidRPr="0002136E">
        <w:rPr>
          <w:sz w:val="24"/>
        </w:rPr>
        <w:t>“</w:t>
      </w:r>
      <w:r w:rsidRPr="0002136E">
        <w:rPr>
          <w:sz w:val="24"/>
        </w:rPr>
        <w:t>中心</w:t>
      </w:r>
      <w:r w:rsidRPr="0002136E">
        <w:rPr>
          <w:sz w:val="24"/>
        </w:rPr>
        <w:t>”</w:t>
      </w:r>
      <w:proofErr w:type="gramStart"/>
      <w:r>
        <w:rPr>
          <w:rFonts w:hint="eastAsia"/>
          <w:sz w:val="24"/>
        </w:rPr>
        <w:t>不</w:t>
      </w:r>
      <w:proofErr w:type="gramEnd"/>
      <w:r>
        <w:rPr>
          <w:rFonts w:hint="eastAsia"/>
          <w:sz w:val="24"/>
        </w:rPr>
        <w:t>聘用</w:t>
      </w:r>
      <w:r w:rsidRPr="00A911BE">
        <w:rPr>
          <w:rFonts w:hint="eastAsia"/>
          <w:sz w:val="24"/>
        </w:rPr>
        <w:t>同时在两个及以上检验检测机构从业</w:t>
      </w:r>
      <w:r>
        <w:rPr>
          <w:rFonts w:hint="eastAsia"/>
          <w:sz w:val="24"/>
        </w:rPr>
        <w:t>的工作人员。</w:t>
      </w:r>
      <w:r w:rsidRPr="0002136E">
        <w:rPr>
          <w:sz w:val="24"/>
        </w:rPr>
        <w:t>以上承诺接受委托方和社会各方面的检查和监督。</w:t>
      </w:r>
      <w:bookmarkStart w:id="1" w:name="_GoBack"/>
      <w:bookmarkEnd w:id="1"/>
    </w:p>
    <w:p w:rsidR="005D4A40" w:rsidRPr="0002136E" w:rsidRDefault="005D4A40" w:rsidP="005D4A40">
      <w:pPr>
        <w:spacing w:line="500" w:lineRule="exact"/>
        <w:ind w:firstLineChars="200" w:firstLine="480"/>
        <w:rPr>
          <w:sz w:val="24"/>
        </w:rPr>
      </w:pPr>
      <w:r w:rsidRPr="0002136E">
        <w:rPr>
          <w:sz w:val="24"/>
        </w:rPr>
        <w:t>监督电话：</w:t>
      </w:r>
      <w:r w:rsidRPr="0002136E">
        <w:rPr>
          <w:sz w:val="24"/>
        </w:rPr>
        <w:t>025</w:t>
      </w:r>
      <w:r w:rsidRPr="0002136E">
        <w:rPr>
          <w:sz w:val="24"/>
        </w:rPr>
        <w:t>－</w:t>
      </w:r>
      <w:r w:rsidRPr="0002136E">
        <w:rPr>
          <w:sz w:val="24"/>
        </w:rPr>
        <w:t xml:space="preserve">86881382 </w:t>
      </w:r>
    </w:p>
    <w:p w:rsidR="005D4A40" w:rsidRDefault="005D4A40" w:rsidP="005D4A40">
      <w:pPr>
        <w:spacing w:line="360" w:lineRule="auto"/>
        <w:jc w:val="right"/>
        <w:rPr>
          <w:sz w:val="24"/>
        </w:rPr>
      </w:pPr>
      <w:r>
        <w:rPr>
          <w:rFonts w:hint="eastAsia"/>
          <w:sz w:val="24"/>
        </w:rPr>
        <w:t xml:space="preserve">                            </w:t>
      </w:r>
    </w:p>
    <w:p w:rsidR="005D4A40" w:rsidRDefault="005D4A40" w:rsidP="005D4A40">
      <w:pPr>
        <w:spacing w:line="360" w:lineRule="auto"/>
        <w:jc w:val="right"/>
        <w:rPr>
          <w:sz w:val="24"/>
        </w:rPr>
      </w:pPr>
      <w:r w:rsidRPr="00B97346">
        <w:rPr>
          <w:rFonts w:ascii="Calibri" w:hAnsi="Calibri"/>
          <w:noProof/>
          <w:sz w:val="24"/>
          <w:szCs w:val="22"/>
        </w:rPr>
        <w:drawing>
          <wp:anchor distT="0" distB="0" distL="114300" distR="114300" simplePos="0" relativeHeight="251659264" behindDoc="1" locked="0" layoutInCell="1" allowOverlap="1" wp14:anchorId="5E88FC5E" wp14:editId="48468CC5">
            <wp:simplePos x="0" y="0"/>
            <wp:positionH relativeFrom="column">
              <wp:posOffset>5160470</wp:posOffset>
            </wp:positionH>
            <wp:positionV relativeFrom="paragraph">
              <wp:posOffset>87104</wp:posOffset>
            </wp:positionV>
            <wp:extent cx="855345" cy="483235"/>
            <wp:effectExtent l="0" t="0" r="1905" b="0"/>
            <wp:wrapSquare wrapText="bothSides"/>
            <wp:docPr id="6" name="图片 6" descr="F:\范巧君\新版体系文件\唐昊冶手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范巧君\新版体系文件\唐昊冶手签.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0636"/>
                    <a:stretch/>
                  </pic:blipFill>
                  <pic:spPr bwMode="auto">
                    <a:xfrm>
                      <a:off x="0" y="0"/>
                      <a:ext cx="855345" cy="483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sz w:val="24"/>
        </w:rPr>
        <w:t xml:space="preserve"> </w:t>
      </w:r>
      <w:r w:rsidRPr="0002136E">
        <w:rPr>
          <w:sz w:val="24"/>
        </w:rPr>
        <w:t>中科院南京土壤研究所土壤与环境分析测试中心</w:t>
      </w:r>
    </w:p>
    <w:p w:rsidR="005D4A40" w:rsidRDefault="005D4A40" w:rsidP="005D4A40">
      <w:pPr>
        <w:spacing w:line="360" w:lineRule="auto"/>
        <w:ind w:right="960"/>
        <w:rPr>
          <w:rFonts w:hint="eastAsia"/>
          <w:sz w:val="24"/>
        </w:rPr>
      </w:pPr>
      <w:r>
        <w:rPr>
          <w:sz w:val="24"/>
        </w:rPr>
        <w:t xml:space="preserve">                                                       </w:t>
      </w:r>
      <w:r w:rsidRPr="0002136E">
        <w:rPr>
          <w:sz w:val="24"/>
        </w:rPr>
        <w:t>主任：</w:t>
      </w:r>
    </w:p>
    <w:p w:rsidR="005D4A40" w:rsidRPr="00A23B94" w:rsidRDefault="005D4A40" w:rsidP="005D4A40">
      <w:pPr>
        <w:spacing w:line="360" w:lineRule="auto"/>
        <w:ind w:right="420"/>
        <w:jc w:val="right"/>
      </w:pPr>
      <w:r>
        <w:rPr>
          <w:rFonts w:hint="eastAsia"/>
        </w:rPr>
        <w:t xml:space="preserve"> </w:t>
      </w:r>
      <w:r>
        <w:t xml:space="preserve">                                                     </w:t>
      </w:r>
      <w:r w:rsidRPr="00A23B94">
        <w:t>二</w:t>
      </w:r>
      <w:r w:rsidRPr="00A23B94">
        <w:t>O</w:t>
      </w:r>
      <w:r w:rsidRPr="00A23B94">
        <w:t>一八年</w:t>
      </w:r>
      <w:r w:rsidRPr="00A23B94">
        <w:rPr>
          <w:rFonts w:hint="eastAsia"/>
        </w:rPr>
        <w:t>十一</w:t>
      </w:r>
      <w:r w:rsidRPr="00A23B94">
        <w:t>月二十五</w:t>
      </w:r>
      <w:r w:rsidRPr="00A23B94">
        <w:rPr>
          <w:rFonts w:hint="eastAsia"/>
        </w:rPr>
        <w:t>日</w:t>
      </w:r>
    </w:p>
    <w:p w:rsidR="003E5B39" w:rsidRPr="005D4A40" w:rsidRDefault="003E5B39"/>
    <w:sectPr w:rsidR="003E5B39" w:rsidRPr="005D4A40" w:rsidSect="005D4A40">
      <w:pgSz w:w="11906" w:h="16838"/>
      <w:pgMar w:top="1440" w:right="1133" w:bottom="1440" w:left="9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40"/>
    <w:rsid w:val="003E5B39"/>
    <w:rsid w:val="005D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EE616-0A34-44FE-BB81-EF51F699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4A40"/>
    <w:pPr>
      <w:widowControl w:val="0"/>
      <w:jc w:val="both"/>
    </w:pPr>
    <w:rPr>
      <w:rFonts w:ascii="Times New Roman" w:eastAsia="宋体" w:hAnsi="Times New Roman" w:cs="Times New Roman"/>
      <w:szCs w:val="24"/>
    </w:rPr>
  </w:style>
  <w:style w:type="paragraph" w:styleId="1">
    <w:name w:val="heading 1"/>
    <w:basedOn w:val="a"/>
    <w:next w:val="a"/>
    <w:link w:val="11"/>
    <w:qFormat/>
    <w:rsid w:val="005D4A40"/>
    <w:pPr>
      <w:keepNext/>
      <w:keepLines/>
      <w:spacing w:before="340" w:after="330" w:line="578" w:lineRule="auto"/>
      <w:jc w:val="center"/>
      <w:outlineLvl w:val="0"/>
    </w:pPr>
    <w:rPr>
      <w:b/>
      <w:bCs/>
      <w:kern w:val="44"/>
      <w:sz w:val="8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5D4A40"/>
    <w:rPr>
      <w:rFonts w:ascii="Times New Roman" w:eastAsia="宋体" w:hAnsi="Times New Roman" w:cs="Times New Roman"/>
      <w:b/>
      <w:bCs/>
      <w:kern w:val="44"/>
      <w:sz w:val="44"/>
      <w:szCs w:val="44"/>
    </w:rPr>
  </w:style>
  <w:style w:type="character" w:customStyle="1" w:styleId="11">
    <w:name w:val="标题 1 字符1"/>
    <w:link w:val="1"/>
    <w:rsid w:val="005D4A40"/>
    <w:rPr>
      <w:rFonts w:ascii="Times New Roman" w:eastAsia="宋体" w:hAnsi="Times New Roman" w:cs="Times New Roman"/>
      <w:b/>
      <w:bCs/>
      <w:kern w:val="44"/>
      <w:sz w:val="84"/>
      <w:szCs w:val="44"/>
    </w:rPr>
  </w:style>
  <w:style w:type="paragraph" w:styleId="a3">
    <w:name w:val="Title"/>
    <w:aliases w:val="标题1"/>
    <w:basedOn w:val="a"/>
    <w:next w:val="a"/>
    <w:link w:val="a4"/>
    <w:qFormat/>
    <w:rsid w:val="005D4A40"/>
    <w:pPr>
      <w:spacing w:before="240" w:after="60"/>
      <w:jc w:val="center"/>
      <w:outlineLvl w:val="0"/>
    </w:pPr>
    <w:rPr>
      <w:b/>
      <w:bCs/>
      <w:sz w:val="24"/>
    </w:rPr>
  </w:style>
  <w:style w:type="character" w:customStyle="1" w:styleId="a4">
    <w:name w:val="标题 字符"/>
    <w:aliases w:val="标题1 字符"/>
    <w:basedOn w:val="a0"/>
    <w:link w:val="a3"/>
    <w:rsid w:val="005D4A40"/>
    <w:rPr>
      <w:rFonts w:ascii="Times New Roman"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1</cp:revision>
  <dcterms:created xsi:type="dcterms:W3CDTF">2023-01-09T02:38:00Z</dcterms:created>
  <dcterms:modified xsi:type="dcterms:W3CDTF">2023-01-09T02:39:00Z</dcterms:modified>
</cp:coreProperties>
</file>