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tblW w:w="90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85"/>
        <w:gridCol w:w="2000"/>
        <w:gridCol w:w="3449"/>
      </w:tblGrid>
      <w:tr w:rsidR="00AE567F" w:rsidRPr="00084CA7" w:rsidTr="00AE567F">
        <w:trPr>
          <w:cantSplit/>
          <w:trHeight w:hRule="exact" w:val="391"/>
        </w:trPr>
        <w:tc>
          <w:tcPr>
            <w:tcW w:w="3585" w:type="dxa"/>
            <w:vMerge w:val="restart"/>
            <w:vAlign w:val="center"/>
          </w:tcPr>
          <w:p w:rsidR="00AE567F" w:rsidRPr="00084CA7" w:rsidRDefault="00AE567F" w:rsidP="00793496">
            <w:pPr>
              <w:jc w:val="center"/>
              <w:rPr>
                <w:sz w:val="24"/>
              </w:rPr>
            </w:pPr>
            <w:r w:rsidRPr="00084CA7">
              <w:rPr>
                <w:sz w:val="24"/>
              </w:rPr>
              <w:t>质量手册</w:t>
            </w:r>
          </w:p>
        </w:tc>
        <w:tc>
          <w:tcPr>
            <w:tcW w:w="5449" w:type="dxa"/>
            <w:gridSpan w:val="2"/>
            <w:vAlign w:val="center"/>
          </w:tcPr>
          <w:p w:rsidR="00AE567F" w:rsidRPr="00084CA7" w:rsidRDefault="00AE567F" w:rsidP="00793496">
            <w:pPr>
              <w:jc w:val="center"/>
              <w:rPr>
                <w:sz w:val="24"/>
              </w:rPr>
            </w:pPr>
            <w:r w:rsidRPr="00084CA7">
              <w:rPr>
                <w:sz w:val="24"/>
              </w:rPr>
              <w:t>第</w:t>
            </w:r>
            <w:r w:rsidRPr="00084CA7">
              <w:rPr>
                <w:sz w:val="24"/>
              </w:rPr>
              <w:t>5.3</w:t>
            </w:r>
            <w:r w:rsidRPr="00084CA7">
              <w:rPr>
                <w:sz w:val="24"/>
              </w:rPr>
              <w:t>章</w:t>
            </w:r>
          </w:p>
        </w:tc>
      </w:tr>
      <w:tr w:rsidR="00AE567F" w:rsidRPr="00084CA7" w:rsidTr="00AE567F">
        <w:trPr>
          <w:cantSplit/>
          <w:trHeight w:hRule="exact" w:val="391"/>
        </w:trPr>
        <w:tc>
          <w:tcPr>
            <w:tcW w:w="3585" w:type="dxa"/>
            <w:vMerge/>
            <w:vAlign w:val="center"/>
          </w:tcPr>
          <w:p w:rsidR="00AE567F" w:rsidRPr="00084CA7" w:rsidRDefault="00AE567F" w:rsidP="00793496">
            <w:pPr>
              <w:jc w:val="center"/>
              <w:rPr>
                <w:sz w:val="24"/>
              </w:rPr>
            </w:pPr>
          </w:p>
        </w:tc>
        <w:tc>
          <w:tcPr>
            <w:tcW w:w="2000" w:type="dxa"/>
            <w:vAlign w:val="center"/>
          </w:tcPr>
          <w:p w:rsidR="00AE567F" w:rsidRPr="00084CA7" w:rsidRDefault="00AE567F" w:rsidP="00793496">
            <w:pPr>
              <w:jc w:val="center"/>
              <w:rPr>
                <w:sz w:val="24"/>
              </w:rPr>
            </w:pPr>
            <w:r w:rsidRPr="00084CA7">
              <w:rPr>
                <w:sz w:val="24"/>
              </w:rPr>
              <w:t>本章共</w:t>
            </w:r>
            <w:r w:rsidRPr="00084CA7">
              <w:rPr>
                <w:sz w:val="24"/>
              </w:rPr>
              <w:t>1</w:t>
            </w:r>
            <w:r w:rsidRPr="00084CA7">
              <w:rPr>
                <w:sz w:val="24"/>
              </w:rPr>
              <w:t>页</w:t>
            </w:r>
          </w:p>
        </w:tc>
        <w:tc>
          <w:tcPr>
            <w:tcW w:w="3449" w:type="dxa"/>
            <w:vAlign w:val="center"/>
          </w:tcPr>
          <w:p w:rsidR="00AE567F" w:rsidRPr="00084CA7" w:rsidRDefault="00AE567F" w:rsidP="00793496">
            <w:pPr>
              <w:jc w:val="center"/>
              <w:rPr>
                <w:sz w:val="24"/>
              </w:rPr>
            </w:pPr>
            <w:r w:rsidRPr="00084CA7">
              <w:rPr>
                <w:sz w:val="24"/>
              </w:rPr>
              <w:t>页码：</w:t>
            </w:r>
            <w:r w:rsidRPr="00084CA7">
              <w:rPr>
                <w:sz w:val="24"/>
              </w:rPr>
              <w:t>1/1</w:t>
            </w:r>
          </w:p>
        </w:tc>
      </w:tr>
      <w:tr w:rsidR="00AE567F" w:rsidRPr="00084CA7" w:rsidTr="00AE567F">
        <w:trPr>
          <w:cantSplit/>
          <w:trHeight w:hRule="exact" w:val="391"/>
        </w:trPr>
        <w:tc>
          <w:tcPr>
            <w:tcW w:w="3585" w:type="dxa"/>
            <w:vMerge w:val="restart"/>
            <w:vAlign w:val="center"/>
          </w:tcPr>
          <w:p w:rsidR="00AE567F" w:rsidRPr="00084CA7" w:rsidRDefault="00AE567F" w:rsidP="00793496">
            <w:pPr>
              <w:jc w:val="center"/>
              <w:rPr>
                <w:sz w:val="24"/>
              </w:rPr>
            </w:pPr>
            <w:r w:rsidRPr="00084CA7">
              <w:rPr>
                <w:sz w:val="24"/>
              </w:rPr>
              <w:t>主题：员工行为规范</w:t>
            </w:r>
          </w:p>
        </w:tc>
        <w:tc>
          <w:tcPr>
            <w:tcW w:w="2000" w:type="dxa"/>
            <w:vAlign w:val="center"/>
          </w:tcPr>
          <w:p w:rsidR="00AE567F" w:rsidRPr="00084CA7" w:rsidRDefault="00AE567F" w:rsidP="00793496">
            <w:pPr>
              <w:jc w:val="center"/>
              <w:rPr>
                <w:sz w:val="24"/>
              </w:rPr>
            </w:pPr>
            <w:r>
              <w:rPr>
                <w:sz w:val="24"/>
              </w:rPr>
              <w:t>第</w:t>
            </w:r>
            <w:r>
              <w:rPr>
                <w:sz w:val="24"/>
              </w:rPr>
              <w:t>6</w:t>
            </w:r>
            <w:r>
              <w:rPr>
                <w:sz w:val="24"/>
              </w:rPr>
              <w:t>版</w:t>
            </w:r>
          </w:p>
        </w:tc>
        <w:tc>
          <w:tcPr>
            <w:tcW w:w="3449" w:type="dxa"/>
            <w:vAlign w:val="center"/>
          </w:tcPr>
          <w:p w:rsidR="00AE567F" w:rsidRPr="00084CA7" w:rsidRDefault="00AE567F" w:rsidP="00793496">
            <w:pPr>
              <w:jc w:val="center"/>
              <w:rPr>
                <w:sz w:val="24"/>
              </w:rPr>
            </w:pPr>
            <w:r w:rsidRPr="00084CA7">
              <w:rPr>
                <w:sz w:val="24"/>
              </w:rPr>
              <w:t>第</w:t>
            </w:r>
            <w:r w:rsidRPr="00084CA7">
              <w:rPr>
                <w:sz w:val="24"/>
              </w:rPr>
              <w:t>0</w:t>
            </w:r>
            <w:r w:rsidRPr="00084CA7">
              <w:rPr>
                <w:sz w:val="24"/>
              </w:rPr>
              <w:t>次修订</w:t>
            </w:r>
          </w:p>
        </w:tc>
      </w:tr>
      <w:tr w:rsidR="00AE567F" w:rsidRPr="00084CA7" w:rsidTr="00AE567F">
        <w:trPr>
          <w:cantSplit/>
          <w:trHeight w:hRule="exact" w:val="391"/>
        </w:trPr>
        <w:tc>
          <w:tcPr>
            <w:tcW w:w="3585" w:type="dxa"/>
            <w:vMerge/>
            <w:vAlign w:val="center"/>
          </w:tcPr>
          <w:p w:rsidR="00AE567F" w:rsidRPr="00084CA7" w:rsidRDefault="00AE567F" w:rsidP="00793496">
            <w:pPr>
              <w:jc w:val="center"/>
              <w:rPr>
                <w:sz w:val="24"/>
              </w:rPr>
            </w:pPr>
          </w:p>
        </w:tc>
        <w:tc>
          <w:tcPr>
            <w:tcW w:w="2000" w:type="dxa"/>
            <w:vAlign w:val="center"/>
          </w:tcPr>
          <w:p w:rsidR="00AE567F" w:rsidRPr="00084CA7" w:rsidRDefault="00AE567F" w:rsidP="00793496">
            <w:pPr>
              <w:jc w:val="center"/>
              <w:rPr>
                <w:sz w:val="24"/>
              </w:rPr>
            </w:pPr>
            <w:r w:rsidRPr="00084CA7">
              <w:rPr>
                <w:sz w:val="24"/>
              </w:rPr>
              <w:t>发布日期</w:t>
            </w:r>
          </w:p>
        </w:tc>
        <w:tc>
          <w:tcPr>
            <w:tcW w:w="3449" w:type="dxa"/>
            <w:vAlign w:val="center"/>
          </w:tcPr>
          <w:p w:rsidR="00AE567F" w:rsidRPr="00084CA7" w:rsidRDefault="00AE567F" w:rsidP="00793496">
            <w:pPr>
              <w:jc w:val="center"/>
              <w:rPr>
                <w:sz w:val="24"/>
              </w:rPr>
            </w:pPr>
            <w:r>
              <w:rPr>
                <w:sz w:val="24"/>
              </w:rPr>
              <w:t>201</w:t>
            </w:r>
            <w:r>
              <w:rPr>
                <w:rFonts w:hint="eastAsia"/>
                <w:sz w:val="24"/>
              </w:rPr>
              <w:t>8</w:t>
            </w:r>
            <w:r w:rsidRPr="00084CA7">
              <w:rPr>
                <w:sz w:val="24"/>
              </w:rPr>
              <w:t>年</w:t>
            </w:r>
            <w:r>
              <w:rPr>
                <w:rFonts w:hint="eastAsia"/>
                <w:sz w:val="24"/>
              </w:rPr>
              <w:t>11</w:t>
            </w:r>
            <w:r w:rsidRPr="00084CA7">
              <w:rPr>
                <w:sz w:val="24"/>
              </w:rPr>
              <w:t>月</w:t>
            </w:r>
            <w:r>
              <w:rPr>
                <w:rFonts w:hint="eastAsia"/>
                <w:sz w:val="24"/>
              </w:rPr>
              <w:t>25</w:t>
            </w:r>
            <w:r w:rsidRPr="00084CA7">
              <w:rPr>
                <w:sz w:val="24"/>
              </w:rPr>
              <w:t>日</w:t>
            </w:r>
          </w:p>
        </w:tc>
      </w:tr>
    </w:tbl>
    <w:p w:rsidR="00AE567F" w:rsidRPr="00084CA7" w:rsidRDefault="00AE567F" w:rsidP="00AE567F">
      <w:pPr>
        <w:pStyle w:val="a4"/>
        <w:spacing w:before="0" w:after="0" w:line="500" w:lineRule="exact"/>
      </w:pPr>
      <w:bookmarkStart w:id="0" w:name="_Toc124106259"/>
      <w:r w:rsidRPr="0002136E">
        <w:t>员工行为规范</w:t>
      </w:r>
      <w:bookmarkEnd w:id="0"/>
    </w:p>
    <w:p w:rsidR="00AE567F" w:rsidRPr="001C73E6" w:rsidRDefault="00AE567F" w:rsidP="00AE567F">
      <w:pPr>
        <w:spacing w:line="500" w:lineRule="exact"/>
        <w:ind w:firstLineChars="200" w:firstLine="480"/>
        <w:jc w:val="left"/>
        <w:rPr>
          <w:sz w:val="24"/>
        </w:rPr>
      </w:pPr>
      <w:r w:rsidRPr="001C73E6">
        <w:rPr>
          <w:sz w:val="24"/>
        </w:rPr>
        <w:t>本</w:t>
      </w:r>
      <w:r w:rsidRPr="001C73E6">
        <w:rPr>
          <w:sz w:val="24"/>
        </w:rPr>
        <w:t>“</w:t>
      </w:r>
      <w:r w:rsidRPr="001C73E6">
        <w:rPr>
          <w:sz w:val="24"/>
        </w:rPr>
        <w:t>中心</w:t>
      </w:r>
      <w:r w:rsidRPr="001C73E6">
        <w:rPr>
          <w:sz w:val="24"/>
        </w:rPr>
        <w:t>”</w:t>
      </w:r>
      <w:r w:rsidRPr="001C73E6">
        <w:rPr>
          <w:sz w:val="24"/>
        </w:rPr>
        <w:t>制定并发布的《员工行为规范》，规定了对员工遵守法律、法规，抵制干扰、秉公办事，保护客户所有权和机密信息，遵守程序、保证数据</w:t>
      </w:r>
      <w:r>
        <w:rPr>
          <w:sz w:val="24"/>
        </w:rPr>
        <w:t>的真实性和判断的独立性的要求。《员工行为规范》的控制实施，确保公正性、诚信度的实现</w:t>
      </w:r>
      <w:r>
        <w:rPr>
          <w:rFonts w:hint="eastAsia"/>
          <w:sz w:val="24"/>
        </w:rPr>
        <w:t>，</w:t>
      </w:r>
      <w:r w:rsidRPr="001C73E6">
        <w:rPr>
          <w:sz w:val="24"/>
        </w:rPr>
        <w:t>具体内容如下：</w:t>
      </w:r>
    </w:p>
    <w:p w:rsidR="00AE567F" w:rsidRPr="001C73E6" w:rsidRDefault="00AE567F" w:rsidP="00AE567F">
      <w:pPr>
        <w:spacing w:line="500" w:lineRule="exact"/>
        <w:jc w:val="left"/>
        <w:rPr>
          <w:sz w:val="24"/>
        </w:rPr>
      </w:pPr>
      <w:r w:rsidRPr="001C73E6">
        <w:rPr>
          <w:sz w:val="24"/>
          <w:szCs w:val="22"/>
        </w:rPr>
        <w:t>1.</w:t>
      </w:r>
      <w:r w:rsidRPr="001C73E6">
        <w:rPr>
          <w:sz w:val="24"/>
        </w:rPr>
        <w:t xml:space="preserve"> </w:t>
      </w:r>
      <w:r w:rsidRPr="001C73E6">
        <w:rPr>
          <w:sz w:val="24"/>
        </w:rPr>
        <w:t>严格遵守国家相关法律、法规、标准、规范，依法开展检测工作；</w:t>
      </w:r>
    </w:p>
    <w:p w:rsidR="00AE567F" w:rsidRPr="001C73E6" w:rsidRDefault="00AE567F" w:rsidP="00AE567F">
      <w:pPr>
        <w:pStyle w:val="a3"/>
        <w:spacing w:line="500" w:lineRule="exact"/>
        <w:ind w:firstLineChars="0" w:firstLine="0"/>
        <w:jc w:val="left"/>
        <w:rPr>
          <w:rFonts w:ascii="Times New Roman" w:eastAsia="宋体" w:hAnsi="Times New Roman"/>
          <w:sz w:val="24"/>
        </w:rPr>
      </w:pPr>
      <w:r w:rsidRPr="001C73E6">
        <w:rPr>
          <w:rFonts w:ascii="Times New Roman" w:eastAsia="宋体" w:hAnsi="Times New Roman"/>
          <w:sz w:val="24"/>
        </w:rPr>
        <w:t xml:space="preserve">2. </w:t>
      </w:r>
      <w:r>
        <w:rPr>
          <w:rFonts w:ascii="Times New Roman" w:eastAsia="宋体" w:hAnsi="Times New Roman"/>
          <w:sz w:val="24"/>
        </w:rPr>
        <w:t>严格遵守</w:t>
      </w:r>
      <w:r w:rsidRPr="001C73E6">
        <w:rPr>
          <w:rFonts w:ascii="Times New Roman" w:eastAsia="宋体" w:hAnsi="Times New Roman"/>
          <w:sz w:val="24"/>
        </w:rPr>
        <w:t>“</w:t>
      </w:r>
      <w:r w:rsidRPr="001C73E6">
        <w:rPr>
          <w:rFonts w:ascii="Times New Roman" w:eastAsia="宋体" w:hAnsi="Times New Roman"/>
          <w:sz w:val="24"/>
        </w:rPr>
        <w:t>中心</w:t>
      </w:r>
      <w:r w:rsidRPr="001C73E6">
        <w:rPr>
          <w:rFonts w:ascii="Times New Roman" w:eastAsia="宋体" w:hAnsi="Times New Roman"/>
          <w:sz w:val="24"/>
        </w:rPr>
        <w:t>”</w:t>
      </w:r>
      <w:r w:rsidRPr="001C73E6">
        <w:rPr>
          <w:rFonts w:ascii="Times New Roman" w:eastAsia="宋体" w:hAnsi="Times New Roman"/>
          <w:sz w:val="24"/>
        </w:rPr>
        <w:t>《质量手册》的各项要求与规定，严格执行检测工作各项程序文件和作业指导书；</w:t>
      </w:r>
    </w:p>
    <w:p w:rsidR="00AE567F" w:rsidRPr="001C73E6" w:rsidRDefault="00AE567F" w:rsidP="00AE567F">
      <w:pPr>
        <w:pStyle w:val="a3"/>
        <w:spacing w:line="500" w:lineRule="exact"/>
        <w:ind w:firstLineChars="0" w:firstLine="0"/>
        <w:jc w:val="left"/>
        <w:rPr>
          <w:rFonts w:ascii="Times New Roman" w:eastAsia="宋体" w:hAnsi="Times New Roman"/>
          <w:sz w:val="24"/>
        </w:rPr>
      </w:pPr>
      <w:r w:rsidRPr="001C73E6">
        <w:rPr>
          <w:rFonts w:ascii="Times New Roman" w:eastAsia="宋体" w:hAnsi="Times New Roman"/>
          <w:sz w:val="24"/>
        </w:rPr>
        <w:t xml:space="preserve">3. </w:t>
      </w:r>
      <w:r w:rsidRPr="001C73E6">
        <w:rPr>
          <w:rFonts w:ascii="Times New Roman" w:eastAsia="宋体" w:hAnsi="Times New Roman"/>
          <w:sz w:val="24"/>
        </w:rPr>
        <w:t>恪守社</w:t>
      </w:r>
      <w:r>
        <w:rPr>
          <w:rFonts w:ascii="Times New Roman" w:eastAsia="宋体" w:hAnsi="Times New Roman"/>
          <w:sz w:val="24"/>
        </w:rPr>
        <w:t>会公德、职业道德</w:t>
      </w:r>
      <w:r>
        <w:rPr>
          <w:rFonts w:ascii="Times New Roman" w:eastAsia="宋体" w:hAnsi="Times New Roman" w:hint="eastAsia"/>
          <w:sz w:val="24"/>
        </w:rPr>
        <w:t>，</w:t>
      </w:r>
      <w:r>
        <w:rPr>
          <w:rFonts w:ascii="Times New Roman" w:eastAsia="宋体" w:hAnsi="Times New Roman"/>
          <w:sz w:val="24"/>
        </w:rPr>
        <w:t>秉公办事，保证</w:t>
      </w:r>
      <w:r w:rsidRPr="001C73E6">
        <w:rPr>
          <w:rFonts w:ascii="Times New Roman" w:eastAsia="宋体" w:hAnsi="Times New Roman"/>
          <w:sz w:val="24"/>
        </w:rPr>
        <w:t>数据的真实性和判断的独立性；</w:t>
      </w:r>
    </w:p>
    <w:p w:rsidR="00AE567F" w:rsidRPr="001C73E6" w:rsidRDefault="00AE567F" w:rsidP="00AE567F">
      <w:pPr>
        <w:pStyle w:val="a3"/>
        <w:spacing w:line="500" w:lineRule="exact"/>
        <w:ind w:firstLineChars="0" w:firstLine="0"/>
        <w:jc w:val="left"/>
        <w:rPr>
          <w:rFonts w:ascii="Times New Roman" w:eastAsia="宋体" w:hAnsi="Times New Roman"/>
          <w:sz w:val="24"/>
        </w:rPr>
      </w:pPr>
      <w:r w:rsidRPr="001C73E6">
        <w:rPr>
          <w:rFonts w:ascii="Times New Roman" w:eastAsia="宋体" w:hAnsi="Times New Roman"/>
          <w:sz w:val="24"/>
        </w:rPr>
        <w:t xml:space="preserve">4. </w:t>
      </w:r>
      <w:r>
        <w:rPr>
          <w:rFonts w:ascii="Times New Roman" w:eastAsia="宋体" w:hAnsi="Times New Roman"/>
          <w:sz w:val="24"/>
        </w:rPr>
        <w:t>遵守</w:t>
      </w:r>
      <w:r w:rsidRPr="001C73E6">
        <w:rPr>
          <w:rFonts w:ascii="Times New Roman" w:eastAsia="宋体" w:hAnsi="Times New Roman"/>
          <w:sz w:val="24"/>
        </w:rPr>
        <w:t>“</w:t>
      </w:r>
      <w:r w:rsidRPr="001C73E6">
        <w:rPr>
          <w:rFonts w:ascii="Times New Roman" w:eastAsia="宋体" w:hAnsi="Times New Roman"/>
          <w:sz w:val="24"/>
        </w:rPr>
        <w:t>中心</w:t>
      </w:r>
      <w:r w:rsidRPr="001C73E6">
        <w:rPr>
          <w:rFonts w:ascii="Times New Roman" w:eastAsia="宋体" w:hAnsi="Times New Roman"/>
          <w:sz w:val="24"/>
        </w:rPr>
        <w:t>”</w:t>
      </w:r>
      <w:r>
        <w:rPr>
          <w:rFonts w:ascii="Times New Roman" w:eastAsia="宋体" w:hAnsi="Times New Roman"/>
          <w:sz w:val="24"/>
        </w:rPr>
        <w:t>规章制度，履行职责，</w:t>
      </w:r>
      <w:bookmarkStart w:id="1" w:name="_GoBack"/>
      <w:bookmarkEnd w:id="1"/>
      <w:r>
        <w:rPr>
          <w:rFonts w:ascii="Times New Roman" w:eastAsia="宋体" w:hAnsi="Times New Roman"/>
          <w:sz w:val="24"/>
        </w:rPr>
        <w:t>遵纪守法，抵制干扰，</w:t>
      </w:r>
      <w:proofErr w:type="gramStart"/>
      <w:r>
        <w:rPr>
          <w:rFonts w:ascii="Times New Roman" w:eastAsia="宋体" w:hAnsi="Times New Roman"/>
          <w:sz w:val="24"/>
        </w:rPr>
        <w:t>不</w:t>
      </w:r>
      <w:proofErr w:type="gramEnd"/>
      <w:r w:rsidRPr="001C73E6">
        <w:rPr>
          <w:rFonts w:ascii="Times New Roman" w:eastAsia="宋体" w:hAnsi="Times New Roman"/>
          <w:sz w:val="24"/>
        </w:rPr>
        <w:t>违规操作或伪造数据；</w:t>
      </w:r>
    </w:p>
    <w:p w:rsidR="00AE567F" w:rsidRPr="001C73E6" w:rsidRDefault="00AE567F" w:rsidP="00AE567F">
      <w:pPr>
        <w:spacing w:line="500" w:lineRule="exact"/>
        <w:jc w:val="left"/>
        <w:rPr>
          <w:sz w:val="24"/>
        </w:rPr>
      </w:pPr>
      <w:r w:rsidRPr="001C73E6">
        <w:rPr>
          <w:sz w:val="24"/>
        </w:rPr>
        <w:t xml:space="preserve">5. </w:t>
      </w:r>
      <w:r w:rsidRPr="001C73E6">
        <w:rPr>
          <w:sz w:val="24"/>
        </w:rPr>
        <w:t>同等对</w:t>
      </w:r>
      <w:r>
        <w:rPr>
          <w:sz w:val="24"/>
        </w:rPr>
        <w:t>待客户，不论其业务大小，关系疏远、有无背景，以客户利益为</w:t>
      </w:r>
      <w:r>
        <w:rPr>
          <w:rFonts w:hint="eastAsia"/>
          <w:sz w:val="24"/>
        </w:rPr>
        <w:t>主</w:t>
      </w:r>
      <w:r w:rsidRPr="001C73E6">
        <w:rPr>
          <w:sz w:val="24"/>
        </w:rPr>
        <w:t>；</w:t>
      </w:r>
    </w:p>
    <w:p w:rsidR="00AE567F" w:rsidRPr="001C73E6" w:rsidRDefault="00AE567F" w:rsidP="00AE567F">
      <w:pPr>
        <w:spacing w:line="500" w:lineRule="exact"/>
        <w:jc w:val="left"/>
        <w:rPr>
          <w:sz w:val="24"/>
        </w:rPr>
      </w:pPr>
      <w:r w:rsidRPr="001C73E6">
        <w:rPr>
          <w:sz w:val="24"/>
        </w:rPr>
        <w:t xml:space="preserve">6. </w:t>
      </w:r>
      <w:r w:rsidRPr="001C73E6">
        <w:rPr>
          <w:sz w:val="24"/>
        </w:rPr>
        <w:t>不参与委</w:t>
      </w:r>
      <w:r>
        <w:rPr>
          <w:sz w:val="24"/>
        </w:rPr>
        <w:t>托方被测样品或与被测样品有关的产品的研究、开发、设计</w:t>
      </w:r>
      <w:r>
        <w:rPr>
          <w:rFonts w:hint="eastAsia"/>
          <w:sz w:val="24"/>
        </w:rPr>
        <w:t>和</w:t>
      </w:r>
      <w:r>
        <w:rPr>
          <w:sz w:val="24"/>
        </w:rPr>
        <w:t>制造</w:t>
      </w:r>
      <w:r w:rsidRPr="001C73E6">
        <w:rPr>
          <w:sz w:val="24"/>
        </w:rPr>
        <w:t>；</w:t>
      </w:r>
    </w:p>
    <w:p w:rsidR="00AE567F" w:rsidRPr="001C73E6" w:rsidRDefault="00AE567F" w:rsidP="00AE567F">
      <w:pPr>
        <w:spacing w:line="500" w:lineRule="exact"/>
        <w:jc w:val="left"/>
        <w:rPr>
          <w:sz w:val="24"/>
        </w:rPr>
      </w:pPr>
      <w:r w:rsidRPr="001C73E6">
        <w:rPr>
          <w:sz w:val="24"/>
        </w:rPr>
        <w:t xml:space="preserve">7. </w:t>
      </w:r>
      <w:r>
        <w:rPr>
          <w:sz w:val="24"/>
        </w:rPr>
        <w:t>严守</w:t>
      </w:r>
      <w:r w:rsidRPr="001C73E6">
        <w:rPr>
          <w:sz w:val="24"/>
        </w:rPr>
        <w:t>“</w:t>
      </w:r>
      <w:r w:rsidRPr="001C73E6">
        <w:rPr>
          <w:sz w:val="24"/>
        </w:rPr>
        <w:t>中心</w:t>
      </w:r>
      <w:r w:rsidRPr="001C73E6">
        <w:rPr>
          <w:sz w:val="24"/>
        </w:rPr>
        <w:t>”</w:t>
      </w:r>
      <w:r w:rsidRPr="001C73E6">
        <w:rPr>
          <w:sz w:val="24"/>
        </w:rPr>
        <w:t>检测工作机密，坚决保护客户的所有权和机密，任何人</w:t>
      </w:r>
      <w:proofErr w:type="gramStart"/>
      <w:r w:rsidRPr="001C73E6">
        <w:rPr>
          <w:sz w:val="24"/>
        </w:rPr>
        <w:t>不</w:t>
      </w:r>
      <w:proofErr w:type="gramEnd"/>
      <w:r w:rsidRPr="001C73E6">
        <w:rPr>
          <w:sz w:val="24"/>
        </w:rPr>
        <w:t>得用客户的技术和商业机密谋取私利；</w:t>
      </w:r>
    </w:p>
    <w:p w:rsidR="00AE567F" w:rsidRPr="001C73E6" w:rsidRDefault="00AE567F" w:rsidP="00AE567F">
      <w:pPr>
        <w:spacing w:line="500" w:lineRule="exact"/>
        <w:jc w:val="left"/>
        <w:rPr>
          <w:sz w:val="24"/>
        </w:rPr>
      </w:pPr>
      <w:r w:rsidRPr="001C73E6">
        <w:rPr>
          <w:sz w:val="24"/>
        </w:rPr>
        <w:t xml:space="preserve">8. </w:t>
      </w:r>
      <w:r w:rsidRPr="001C73E6">
        <w:rPr>
          <w:sz w:val="24"/>
        </w:rPr>
        <w:t>认真做好实验室环境卫生和内务管理、设施安全和保密工作；</w:t>
      </w:r>
    </w:p>
    <w:p w:rsidR="00AE567F" w:rsidRPr="001C73E6" w:rsidRDefault="00AE567F" w:rsidP="00AE567F">
      <w:pPr>
        <w:spacing w:line="500" w:lineRule="exact"/>
        <w:jc w:val="left"/>
        <w:rPr>
          <w:sz w:val="24"/>
        </w:rPr>
      </w:pPr>
      <w:r w:rsidRPr="001C73E6">
        <w:rPr>
          <w:sz w:val="24"/>
        </w:rPr>
        <w:t xml:space="preserve">9. </w:t>
      </w:r>
      <w:r w:rsidRPr="001C73E6">
        <w:rPr>
          <w:sz w:val="24"/>
        </w:rPr>
        <w:t>本实验室所有人员不得在同行业的检测机构或者是业务相关的机构中兼职，保证检测结果的客观、公正和独立性。</w:t>
      </w:r>
    </w:p>
    <w:p w:rsidR="00AE567F" w:rsidRPr="001C73E6" w:rsidRDefault="00AE567F" w:rsidP="00AE567F">
      <w:pPr>
        <w:spacing w:line="500" w:lineRule="exact"/>
        <w:jc w:val="left"/>
        <w:rPr>
          <w:sz w:val="24"/>
        </w:rPr>
      </w:pPr>
      <w:r w:rsidRPr="001C73E6">
        <w:rPr>
          <w:sz w:val="24"/>
        </w:rPr>
        <w:t>上述规定自公布之日起施行。</w:t>
      </w:r>
    </w:p>
    <w:p w:rsidR="00AE567F" w:rsidRPr="001C73E6" w:rsidRDefault="00AE567F" w:rsidP="00AE567F">
      <w:pPr>
        <w:spacing w:line="500" w:lineRule="exact"/>
        <w:jc w:val="right"/>
        <w:rPr>
          <w:sz w:val="24"/>
        </w:rPr>
      </w:pPr>
      <w:r w:rsidRPr="001C73E6">
        <w:rPr>
          <w:sz w:val="24"/>
        </w:rPr>
        <w:t>中国科学院南京土壤研究所</w:t>
      </w:r>
    </w:p>
    <w:p w:rsidR="00AE567F" w:rsidRDefault="00AE567F" w:rsidP="00AE567F">
      <w:pPr>
        <w:spacing w:line="500" w:lineRule="exact"/>
        <w:jc w:val="right"/>
        <w:rPr>
          <w:sz w:val="24"/>
        </w:rPr>
      </w:pPr>
      <w:r w:rsidRPr="001C73E6">
        <w:rPr>
          <w:sz w:val="24"/>
        </w:rPr>
        <w:t>土壤与环境分析测试中心</w:t>
      </w:r>
      <w:r w:rsidRPr="0002136E">
        <w:rPr>
          <w:sz w:val="24"/>
        </w:rPr>
        <w:t xml:space="preserve"> </w:t>
      </w:r>
    </w:p>
    <w:p w:rsidR="00AE567F" w:rsidRDefault="00AE567F" w:rsidP="00AE567F">
      <w:pPr>
        <w:spacing w:line="500" w:lineRule="exact"/>
        <w:jc w:val="right"/>
        <w:rPr>
          <w:sz w:val="24"/>
        </w:rPr>
      </w:pPr>
      <w:r w:rsidRPr="00B97346">
        <w:rPr>
          <w:rFonts w:ascii="Calibri" w:hAnsi="Calibri"/>
          <w:noProof/>
          <w:sz w:val="24"/>
          <w:szCs w:val="22"/>
        </w:rPr>
        <w:drawing>
          <wp:anchor distT="0" distB="0" distL="114300" distR="114300" simplePos="0" relativeHeight="251659264" behindDoc="0" locked="0" layoutInCell="1" allowOverlap="1" wp14:anchorId="1225C951" wp14:editId="4EA8F441">
            <wp:simplePos x="0" y="0"/>
            <wp:positionH relativeFrom="column">
              <wp:posOffset>4142740</wp:posOffset>
            </wp:positionH>
            <wp:positionV relativeFrom="paragraph">
              <wp:posOffset>6985</wp:posOffset>
            </wp:positionV>
            <wp:extent cx="917575" cy="581025"/>
            <wp:effectExtent l="0" t="0" r="0" b="9525"/>
            <wp:wrapSquare wrapText="bothSides"/>
            <wp:docPr id="16" name="图片 16" descr="F:\范巧君\新版体系文件\唐昊冶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范巧君\新版体系文件\唐昊冶手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757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rPr>
        <w:t>主任：</w:t>
      </w:r>
    </w:p>
    <w:p w:rsidR="00AE567F" w:rsidRDefault="00AE567F" w:rsidP="00AE567F">
      <w:pPr>
        <w:spacing w:line="500" w:lineRule="exact"/>
        <w:jc w:val="right"/>
        <w:rPr>
          <w:sz w:val="24"/>
        </w:rPr>
      </w:pPr>
    </w:p>
    <w:p w:rsidR="00AE567F" w:rsidRDefault="00AE567F" w:rsidP="00AE567F">
      <w:pPr>
        <w:spacing w:line="500" w:lineRule="exact"/>
        <w:jc w:val="right"/>
        <w:rPr>
          <w:sz w:val="24"/>
        </w:rPr>
      </w:pPr>
      <w:r w:rsidRPr="0002136E">
        <w:rPr>
          <w:sz w:val="24"/>
        </w:rPr>
        <w:t>二</w:t>
      </w:r>
      <w:r w:rsidRPr="0002136E">
        <w:rPr>
          <w:sz w:val="24"/>
        </w:rPr>
        <w:t>O</w:t>
      </w:r>
      <w:r>
        <w:rPr>
          <w:sz w:val="24"/>
        </w:rPr>
        <w:t>一八年</w:t>
      </w:r>
      <w:r>
        <w:rPr>
          <w:rFonts w:hint="eastAsia"/>
          <w:sz w:val="24"/>
        </w:rPr>
        <w:t>十一</w:t>
      </w:r>
      <w:r w:rsidRPr="0002136E">
        <w:rPr>
          <w:sz w:val="24"/>
        </w:rPr>
        <w:t>月二十五</w:t>
      </w:r>
      <w:r>
        <w:rPr>
          <w:rFonts w:hint="eastAsia"/>
          <w:sz w:val="24"/>
        </w:rPr>
        <w:t>日</w:t>
      </w:r>
    </w:p>
    <w:p w:rsidR="003E5B39" w:rsidRPr="00AE567F" w:rsidRDefault="003E5B39"/>
    <w:sectPr w:rsidR="003E5B39" w:rsidRPr="00AE567F" w:rsidSect="00AE567F">
      <w:pgSz w:w="11906" w:h="16838"/>
      <w:pgMar w:top="1440" w:right="1133"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7F"/>
    <w:rsid w:val="003E5B39"/>
    <w:rsid w:val="00AE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D083F-2E1B-4DF2-A0F4-B9FFB612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6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67F"/>
    <w:pPr>
      <w:ind w:firstLineChars="200" w:firstLine="420"/>
    </w:pPr>
    <w:rPr>
      <w:rFonts w:ascii="等线" w:eastAsia="等线" w:hAnsi="等线"/>
      <w:szCs w:val="22"/>
    </w:rPr>
  </w:style>
  <w:style w:type="paragraph" w:styleId="a4">
    <w:name w:val="Title"/>
    <w:aliases w:val="标题1"/>
    <w:basedOn w:val="a"/>
    <w:next w:val="a"/>
    <w:link w:val="a5"/>
    <w:qFormat/>
    <w:rsid w:val="00AE567F"/>
    <w:pPr>
      <w:spacing w:before="240" w:after="60"/>
      <w:jc w:val="center"/>
      <w:outlineLvl w:val="0"/>
    </w:pPr>
    <w:rPr>
      <w:b/>
      <w:bCs/>
      <w:sz w:val="24"/>
    </w:rPr>
  </w:style>
  <w:style w:type="character" w:customStyle="1" w:styleId="a5">
    <w:name w:val="标题 字符"/>
    <w:aliases w:val="标题1 字符"/>
    <w:basedOn w:val="a0"/>
    <w:link w:val="a4"/>
    <w:rsid w:val="00AE567F"/>
    <w:rPr>
      <w:rFonts w:ascii="Times New Roman" w:eastAsia="宋体"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1</cp:revision>
  <dcterms:created xsi:type="dcterms:W3CDTF">2023-01-09T02:44:00Z</dcterms:created>
  <dcterms:modified xsi:type="dcterms:W3CDTF">2023-01-09T02:45:00Z</dcterms:modified>
</cp:coreProperties>
</file>